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A8156B" w:rsidRDefault="00730A5A">
      <w:pPr>
        <w:rPr>
          <w:rFonts w:ascii="Arial" w:eastAsia="Arial" w:hAnsi="Arial" w:cs="Arial"/>
          <w:b/>
          <w:sz w:val="36"/>
          <w:szCs w:val="36"/>
        </w:rPr>
      </w:pPr>
      <w:bookmarkStart w:id="0" w:name="_GoBack"/>
      <w:bookmarkEnd w:id="0"/>
      <w:r>
        <w:rPr>
          <w:rFonts w:ascii="Arial" w:eastAsia="Arial" w:hAnsi="Arial" w:cs="Arial"/>
          <w:b/>
          <w:sz w:val="36"/>
          <w:szCs w:val="36"/>
        </w:rPr>
        <w:t>Framework Schedule 3 (Framework Prices)</w:t>
      </w:r>
    </w:p>
    <w:p w14:paraId="00000002" w14:textId="77777777" w:rsidR="00A8156B" w:rsidRDefault="00730A5A">
      <w:pPr>
        <w:numPr>
          <w:ilvl w:val="0"/>
          <w:numId w:val="2"/>
        </w:numPr>
        <w:pBdr>
          <w:top w:val="nil"/>
          <w:left w:val="nil"/>
          <w:bottom w:val="nil"/>
          <w:right w:val="nil"/>
          <w:between w:val="nil"/>
        </w:pBdr>
        <w:tabs>
          <w:tab w:val="left" w:pos="142"/>
        </w:tabs>
        <w:spacing w:before="120" w:after="240" w:line="240" w:lineRule="auto"/>
        <w:jc w:val="both"/>
      </w:pPr>
      <w:bookmarkStart w:id="1" w:name="_gjdgxs" w:colFirst="0" w:colLast="0"/>
      <w:bookmarkEnd w:id="1"/>
      <w:r>
        <w:rPr>
          <w:rFonts w:ascii="Arial" w:eastAsia="Arial" w:hAnsi="Arial" w:cs="Arial"/>
          <w:b/>
          <w:color w:val="000000"/>
          <w:sz w:val="24"/>
          <w:szCs w:val="24"/>
        </w:rPr>
        <w:t xml:space="preserve">General Provisions </w:t>
      </w:r>
    </w:p>
    <w:p w14:paraId="00000003" w14:textId="77777777" w:rsidR="00A8156B" w:rsidRDefault="00730A5A">
      <w:pPr>
        <w:numPr>
          <w:ilvl w:val="1"/>
          <w:numId w:val="2"/>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The Charges:</w:t>
      </w:r>
    </w:p>
    <w:p w14:paraId="00000004" w14:textId="77777777" w:rsidR="00A8156B" w:rsidRDefault="00730A5A">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sz w:val="24"/>
          <w:szCs w:val="24"/>
        </w:rPr>
        <w:t>for any Call-Off Contract awarded pursuant to this Framework Contract shall comply with the Framework Prices</w:t>
      </w:r>
    </w:p>
    <w:p w14:paraId="00000005" w14:textId="77777777" w:rsidR="00A8156B" w:rsidRDefault="00730A5A">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14:paraId="00000006" w14:textId="77777777" w:rsidR="00A8156B" w:rsidRDefault="00730A5A">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cannot be increased except as specifically permitted by the Call Off Contract and in particular shall only be subje</w:t>
      </w:r>
      <w:r>
        <w:rPr>
          <w:rFonts w:ascii="Arial" w:eastAsia="Arial" w:hAnsi="Arial" w:cs="Arial"/>
          <w:color w:val="000000"/>
          <w:sz w:val="24"/>
          <w:szCs w:val="24"/>
        </w:rPr>
        <w:t>ct to Indexation where specifically stated in the Order Form; and</w:t>
      </w:r>
    </w:p>
    <w:p w14:paraId="00000007" w14:textId="77777777" w:rsidR="00A8156B" w:rsidRDefault="00730A5A">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 xml:space="preserve">shall not be impacted by any change to the Framework Prices. </w:t>
      </w:r>
    </w:p>
    <w:p w14:paraId="00000008" w14:textId="77777777" w:rsidR="00A8156B" w:rsidRDefault="00730A5A">
      <w:pPr>
        <w:numPr>
          <w:ilvl w:val="1"/>
          <w:numId w:val="2"/>
        </w:numPr>
        <w:pBdr>
          <w:top w:val="nil"/>
          <w:left w:val="nil"/>
          <w:bottom w:val="nil"/>
          <w:right w:val="nil"/>
          <w:between w:val="nil"/>
        </w:pBdr>
        <w:tabs>
          <w:tab w:val="left" w:pos="709"/>
        </w:tabs>
        <w:spacing w:before="120" w:after="120" w:line="240" w:lineRule="auto"/>
        <w:ind w:left="1134" w:hanging="504"/>
      </w:pPr>
      <w:bookmarkStart w:id="2" w:name="_30j0zll" w:colFirst="0" w:colLast="0"/>
      <w:bookmarkEnd w:id="2"/>
      <w:r>
        <w:rPr>
          <w:rFonts w:ascii="Arial" w:eastAsia="Arial" w:hAnsi="Arial" w:cs="Arial"/>
          <w:color w:val="000000"/>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p>
    <w:p w14:paraId="00000009" w14:textId="77777777" w:rsidR="00A8156B" w:rsidRDefault="00730A5A">
      <w:pPr>
        <w:numPr>
          <w:ilvl w:val="1"/>
          <w:numId w:val="2"/>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Prices fo</w:t>
      </w:r>
      <w:r>
        <w:rPr>
          <w:rFonts w:ascii="Arial" w:eastAsia="Arial" w:hAnsi="Arial" w:cs="Arial"/>
          <w:color w:val="000000"/>
          <w:sz w:val="24"/>
          <w:szCs w:val="24"/>
        </w:rPr>
        <w:t xml:space="preserve">r Goods and Services under this Framework Contract shall be comparable to the Supplier’s lowest available prices for comparable goods and services provided by the Supplier to the public sector through other commercial arrangements and that are supplied on </w:t>
      </w:r>
      <w:r>
        <w:rPr>
          <w:rFonts w:ascii="Arial" w:eastAsia="Arial" w:hAnsi="Arial" w:cs="Arial"/>
          <w:color w:val="000000"/>
          <w:sz w:val="24"/>
          <w:szCs w:val="24"/>
        </w:rPr>
        <w:t xml:space="preserve">comparable terms. </w:t>
      </w:r>
    </w:p>
    <w:p w14:paraId="0000000A" w14:textId="77777777" w:rsidR="00A8156B" w:rsidRDefault="00730A5A">
      <w:pPr>
        <w:numPr>
          <w:ilvl w:val="1"/>
          <w:numId w:val="2"/>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The Supplier shall on request make available to Buyers and/or CCS following a Further Competition Procedure, access to a full, transparent breakdown for Charges for Goods and Services.  This breakdown should include;</w:t>
      </w:r>
    </w:p>
    <w:p w14:paraId="0000000B" w14:textId="77777777" w:rsidR="00A8156B" w:rsidRDefault="00730A5A">
      <w:pPr>
        <w:numPr>
          <w:ilvl w:val="4"/>
          <w:numId w:val="1"/>
        </w:numPr>
        <w:pBdr>
          <w:top w:val="nil"/>
          <w:left w:val="nil"/>
          <w:bottom w:val="nil"/>
          <w:right w:val="nil"/>
          <w:between w:val="nil"/>
        </w:pBdr>
        <w:tabs>
          <w:tab w:val="left" w:pos="709"/>
        </w:tabs>
        <w:spacing w:before="120" w:after="120" w:line="240" w:lineRule="auto"/>
        <w:rPr>
          <w:rFonts w:ascii="Arial" w:eastAsia="Arial" w:hAnsi="Arial" w:cs="Arial"/>
          <w:sz w:val="24"/>
          <w:szCs w:val="24"/>
        </w:rPr>
      </w:pPr>
      <w:r>
        <w:rPr>
          <w:rFonts w:ascii="Arial" w:eastAsia="Arial" w:hAnsi="Arial" w:cs="Arial"/>
          <w:color w:val="000000"/>
          <w:sz w:val="24"/>
          <w:szCs w:val="24"/>
        </w:rPr>
        <w:t>Margin for Goods, in</w:t>
      </w:r>
      <w:r>
        <w:rPr>
          <w:rFonts w:ascii="Arial" w:eastAsia="Arial" w:hAnsi="Arial" w:cs="Arial"/>
          <w:color w:val="000000"/>
          <w:sz w:val="24"/>
          <w:szCs w:val="24"/>
        </w:rPr>
        <w:t xml:space="preserve">cluding any software, </w:t>
      </w:r>
    </w:p>
    <w:p w14:paraId="0000000C" w14:textId="77777777" w:rsidR="00A8156B" w:rsidRDefault="00730A5A">
      <w:pPr>
        <w:numPr>
          <w:ilvl w:val="4"/>
          <w:numId w:val="1"/>
        </w:numPr>
        <w:pBdr>
          <w:top w:val="nil"/>
          <w:left w:val="nil"/>
          <w:bottom w:val="nil"/>
          <w:right w:val="nil"/>
          <w:between w:val="nil"/>
        </w:pBdr>
        <w:tabs>
          <w:tab w:val="left" w:pos="709"/>
        </w:tabs>
        <w:spacing w:before="120" w:after="120" w:line="240" w:lineRule="auto"/>
        <w:rPr>
          <w:rFonts w:ascii="Arial" w:eastAsia="Arial" w:hAnsi="Arial" w:cs="Arial"/>
          <w:sz w:val="24"/>
          <w:szCs w:val="24"/>
        </w:rPr>
      </w:pPr>
      <w:r>
        <w:rPr>
          <w:rFonts w:ascii="Arial" w:eastAsia="Arial" w:hAnsi="Arial" w:cs="Arial"/>
          <w:color w:val="000000"/>
          <w:sz w:val="24"/>
          <w:szCs w:val="24"/>
        </w:rPr>
        <w:t>For Goods and Services including the supply of software provided under Lots 1, 3 and 4, the price impact of profit share initiatives including registration discounts and vendor rebates</w:t>
      </w:r>
    </w:p>
    <w:p w14:paraId="0000000D" w14:textId="77777777" w:rsidR="00A8156B" w:rsidRDefault="00730A5A">
      <w:pPr>
        <w:numPr>
          <w:ilvl w:val="4"/>
          <w:numId w:val="1"/>
        </w:numPr>
        <w:pBdr>
          <w:top w:val="nil"/>
          <w:left w:val="nil"/>
          <w:bottom w:val="nil"/>
          <w:right w:val="nil"/>
          <w:between w:val="nil"/>
        </w:pBdr>
        <w:tabs>
          <w:tab w:val="left" w:pos="709"/>
        </w:tabs>
        <w:spacing w:before="120" w:after="120" w:line="240" w:lineRule="auto"/>
        <w:rPr>
          <w:rFonts w:ascii="Arial" w:eastAsia="Arial" w:hAnsi="Arial" w:cs="Arial"/>
          <w:sz w:val="24"/>
          <w:szCs w:val="24"/>
        </w:rPr>
      </w:pPr>
      <w:r>
        <w:rPr>
          <w:rFonts w:ascii="Arial" w:eastAsia="Arial" w:hAnsi="Arial" w:cs="Arial"/>
          <w:color w:val="000000"/>
          <w:sz w:val="24"/>
          <w:szCs w:val="24"/>
        </w:rPr>
        <w:t>The staff day rates for the Services to be supplied, and staff time allocated to each of the day rates</w:t>
      </w:r>
    </w:p>
    <w:p w14:paraId="0000000E" w14:textId="77777777" w:rsidR="00A8156B" w:rsidRDefault="00730A5A">
      <w:pPr>
        <w:numPr>
          <w:ilvl w:val="4"/>
          <w:numId w:val="1"/>
        </w:numPr>
        <w:pBdr>
          <w:top w:val="nil"/>
          <w:left w:val="nil"/>
          <w:bottom w:val="nil"/>
          <w:right w:val="nil"/>
          <w:between w:val="nil"/>
        </w:pBdr>
        <w:tabs>
          <w:tab w:val="left" w:pos="709"/>
        </w:tabs>
        <w:spacing w:before="120" w:after="120" w:line="240" w:lineRule="auto"/>
        <w:rPr>
          <w:rFonts w:ascii="Arial" w:eastAsia="Arial" w:hAnsi="Arial" w:cs="Arial"/>
          <w:sz w:val="24"/>
          <w:szCs w:val="24"/>
        </w:rPr>
      </w:pPr>
      <w:r>
        <w:rPr>
          <w:rFonts w:ascii="Arial" w:eastAsia="Arial" w:hAnsi="Arial" w:cs="Arial"/>
          <w:color w:val="000000"/>
          <w:sz w:val="24"/>
          <w:szCs w:val="24"/>
        </w:rPr>
        <w:t>All other cost elements involved, including time and materials.</w:t>
      </w:r>
    </w:p>
    <w:p w14:paraId="0000000F" w14:textId="77777777" w:rsidR="00A8156B" w:rsidRDefault="00730A5A">
      <w:pPr>
        <w:numPr>
          <w:ilvl w:val="1"/>
          <w:numId w:val="2"/>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The Supplier may be required by a Buyer to trade via P2P.  For the Goods and Services pro</w:t>
      </w:r>
      <w:r>
        <w:rPr>
          <w:rFonts w:ascii="Arial" w:eastAsia="Arial" w:hAnsi="Arial" w:cs="Arial"/>
          <w:color w:val="000000"/>
          <w:sz w:val="24"/>
          <w:szCs w:val="24"/>
        </w:rPr>
        <w:t>vided under Lot 8 it is mandatory for the Supplier to be able to trade via P2P.</w:t>
      </w:r>
    </w:p>
    <w:p w14:paraId="00000010" w14:textId="77777777" w:rsidR="00A8156B" w:rsidRDefault="00730A5A">
      <w:pPr>
        <w:numPr>
          <w:ilvl w:val="0"/>
          <w:numId w:val="2"/>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 xml:space="preserve">How Framework Prices are calculated </w:t>
      </w:r>
    </w:p>
    <w:p w14:paraId="00000011" w14:textId="77777777" w:rsidR="00A8156B" w:rsidRDefault="00A8156B">
      <w:pPr>
        <w:pBdr>
          <w:top w:val="nil"/>
          <w:left w:val="nil"/>
          <w:bottom w:val="nil"/>
          <w:right w:val="nil"/>
          <w:between w:val="nil"/>
        </w:pBdr>
        <w:tabs>
          <w:tab w:val="left" w:pos="142"/>
        </w:tabs>
        <w:spacing w:before="120" w:after="240" w:line="240" w:lineRule="auto"/>
        <w:jc w:val="both"/>
      </w:pPr>
    </w:p>
    <w:p w14:paraId="00000012" w14:textId="77777777" w:rsidR="00A8156B" w:rsidRDefault="00730A5A">
      <w:pPr>
        <w:numPr>
          <w:ilvl w:val="1"/>
          <w:numId w:val="2"/>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lastRenderedPageBreak/>
        <w:t>The pricing mechanisms and prices set out in Annex 1 shall be available for use in calculation of Framework Prices in Call Off Contracts.</w:t>
      </w:r>
    </w:p>
    <w:p w14:paraId="00000013" w14:textId="77777777" w:rsidR="00A8156B" w:rsidRDefault="00730A5A">
      <w:pPr>
        <w:numPr>
          <w:ilvl w:val="0"/>
          <w:numId w:val="2"/>
        </w:numPr>
        <w:pBdr>
          <w:top w:val="nil"/>
          <w:left w:val="nil"/>
          <w:bottom w:val="nil"/>
          <w:right w:val="nil"/>
          <w:between w:val="nil"/>
        </w:pBdr>
        <w:tabs>
          <w:tab w:val="left" w:pos="142"/>
        </w:tabs>
        <w:spacing w:before="120" w:after="240" w:line="240" w:lineRule="auto"/>
        <w:jc w:val="both"/>
      </w:pPr>
      <w:bookmarkStart w:id="3" w:name="1fob9te" w:colFirst="0" w:colLast="0"/>
      <w:bookmarkStart w:id="4" w:name="_3znysh7" w:colFirst="0" w:colLast="0"/>
      <w:bookmarkEnd w:id="3"/>
      <w:bookmarkEnd w:id="4"/>
      <w:r>
        <w:rPr>
          <w:rFonts w:ascii="Arial" w:eastAsia="Arial" w:hAnsi="Arial" w:cs="Arial"/>
          <w:b/>
          <w:color w:val="000000"/>
          <w:sz w:val="24"/>
          <w:szCs w:val="24"/>
        </w:rPr>
        <w:t xml:space="preserve">Expenses </w:t>
      </w:r>
    </w:p>
    <w:p w14:paraId="00000014" w14:textId="77777777" w:rsidR="00A8156B" w:rsidRDefault="00730A5A">
      <w:pPr>
        <w:numPr>
          <w:ilvl w:val="1"/>
          <w:numId w:val="2"/>
        </w:numPr>
        <w:pBdr>
          <w:top w:val="nil"/>
          <w:left w:val="nil"/>
          <w:bottom w:val="nil"/>
          <w:right w:val="nil"/>
          <w:between w:val="nil"/>
        </w:pBdr>
        <w:tabs>
          <w:tab w:val="left" w:pos="709"/>
        </w:tabs>
        <w:spacing w:before="120" w:after="120" w:line="240" w:lineRule="auto"/>
        <w:ind w:left="1134" w:hanging="505"/>
      </w:pPr>
      <w:bookmarkStart w:id="5" w:name="_2et92p0" w:colFirst="0" w:colLast="0"/>
      <w:bookmarkEnd w:id="5"/>
      <w:r>
        <w:rPr>
          <w:rFonts w:ascii="Arial" w:eastAsia="Arial" w:hAnsi="Arial" w:cs="Arial"/>
          <w:color w:val="000000"/>
          <w:sz w:val="24"/>
          <w:szCs w:val="24"/>
        </w:rPr>
        <w:t xml:space="preserve">Except as expressly set out in Paragraph 3.2 below, or otherwise stated in a Call Off Order Form the Framework Prices shall include all costs and expenses relating to the provision of Deliverables. No further amounts shall be payable in respect of matters </w:t>
      </w:r>
      <w:r>
        <w:rPr>
          <w:rFonts w:ascii="Arial" w:eastAsia="Arial" w:hAnsi="Arial" w:cs="Arial"/>
          <w:color w:val="000000"/>
          <w:sz w:val="24"/>
          <w:szCs w:val="24"/>
        </w:rPr>
        <w:t>such as:</w:t>
      </w:r>
    </w:p>
    <w:p w14:paraId="00000015" w14:textId="77777777" w:rsidR="00A8156B" w:rsidRDefault="00730A5A">
      <w:pPr>
        <w:numPr>
          <w:ilvl w:val="2"/>
          <w:numId w:val="2"/>
        </w:numPr>
        <w:pBdr>
          <w:top w:val="nil"/>
          <w:left w:val="nil"/>
          <w:bottom w:val="nil"/>
          <w:right w:val="nil"/>
          <w:between w:val="nil"/>
        </w:pBdr>
        <w:tabs>
          <w:tab w:val="left" w:pos="1985"/>
          <w:tab w:val="left" w:pos="2127"/>
          <w:tab w:val="left" w:pos="1980"/>
        </w:tabs>
        <w:spacing w:before="120" w:after="120" w:line="240" w:lineRule="auto"/>
        <w:ind w:left="1979" w:hanging="811"/>
        <w:rPr>
          <w:rFonts w:ascii="Arial" w:eastAsia="Arial" w:hAnsi="Arial" w:cs="Arial"/>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14:paraId="00000016" w14:textId="77777777" w:rsidR="00A8156B" w:rsidRDefault="00730A5A">
      <w:pPr>
        <w:numPr>
          <w:ilvl w:val="2"/>
          <w:numId w:val="2"/>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rPr>
      </w:pPr>
      <w:r>
        <w:rPr>
          <w:rFonts w:ascii="Arial" w:eastAsia="Arial" w:hAnsi="Arial" w:cs="Arial"/>
          <w:color w:val="000000"/>
          <w:sz w:val="24"/>
          <w:szCs w:val="24"/>
        </w:rPr>
        <w:t>costs incurred prior to the commen</w:t>
      </w:r>
      <w:r>
        <w:rPr>
          <w:rFonts w:ascii="Arial" w:eastAsia="Arial" w:hAnsi="Arial" w:cs="Arial"/>
          <w:color w:val="000000"/>
          <w:sz w:val="24"/>
          <w:szCs w:val="24"/>
        </w:rPr>
        <w:t>cement of any Call Off Contract.</w:t>
      </w:r>
    </w:p>
    <w:p w14:paraId="00000017" w14:textId="77777777" w:rsidR="00A8156B" w:rsidRDefault="00730A5A">
      <w:pPr>
        <w:numPr>
          <w:ilvl w:val="1"/>
          <w:numId w:val="2"/>
        </w:numPr>
        <w:pBdr>
          <w:top w:val="nil"/>
          <w:left w:val="nil"/>
          <w:bottom w:val="nil"/>
          <w:right w:val="nil"/>
          <w:between w:val="nil"/>
        </w:pBdr>
        <w:tabs>
          <w:tab w:val="left" w:pos="1134"/>
        </w:tabs>
        <w:spacing w:before="120" w:after="120" w:line="240" w:lineRule="auto"/>
        <w:ind w:left="986" w:hanging="357"/>
      </w:pPr>
      <w:r>
        <w:rPr>
          <w:rFonts w:ascii="Arial" w:eastAsia="Arial" w:hAnsi="Arial" w:cs="Arial"/>
          <w:color w:val="000000"/>
          <w:sz w:val="24"/>
          <w:szCs w:val="24"/>
        </w:rPr>
        <w:t xml:space="preserve">   Expenses shall only be recoverable where:</w:t>
      </w:r>
      <w:r>
        <w:rPr>
          <w:color w:val="000000"/>
        </w:rPr>
        <w:br/>
      </w:r>
      <w:r>
        <w:rPr>
          <w:rFonts w:ascii="Arial" w:eastAsia="Arial" w:hAnsi="Arial" w:cs="Arial"/>
          <w:color w:val="000000"/>
          <w:sz w:val="24"/>
          <w:szCs w:val="24"/>
        </w:rPr>
        <w:t>(</w:t>
      </w:r>
      <w:proofErr w:type="gramStart"/>
      <w:r>
        <w:rPr>
          <w:rFonts w:ascii="Arial" w:eastAsia="Arial" w:hAnsi="Arial" w:cs="Arial"/>
          <w:color w:val="000000"/>
          <w:sz w:val="24"/>
          <w:szCs w:val="24"/>
        </w:rPr>
        <w:t>a)  the</w:t>
      </w:r>
      <w:proofErr w:type="gramEnd"/>
      <w:r>
        <w:rPr>
          <w:rFonts w:ascii="Arial" w:eastAsia="Arial" w:hAnsi="Arial" w:cs="Arial"/>
          <w:color w:val="000000"/>
          <w:sz w:val="24"/>
          <w:szCs w:val="24"/>
        </w:rPr>
        <w:t xml:space="preserve"> Order Form for the relevant Call Off Contract states that recovery is    permitted; and   </w:t>
      </w:r>
      <w:r>
        <w:rPr>
          <w:rFonts w:ascii="Arial" w:eastAsia="Arial" w:hAnsi="Arial" w:cs="Arial"/>
          <w:color w:val="000000"/>
          <w:sz w:val="24"/>
          <w:szCs w:val="24"/>
        </w:rPr>
        <w:br/>
      </w:r>
      <w:r>
        <w:rPr>
          <w:rFonts w:ascii="Arial" w:eastAsia="Arial" w:hAnsi="Arial" w:cs="Arial"/>
          <w:color w:val="000000"/>
          <w:sz w:val="24"/>
          <w:szCs w:val="24"/>
        </w:rPr>
        <w:t>(b) they are Reimbursable Expenses and are supported by Supporting Documentation. The Buyer shall provide a copy of their current expenses policy to the Supplier upon request.</w:t>
      </w:r>
    </w:p>
    <w:p w14:paraId="00000018" w14:textId="77777777" w:rsidR="00A8156B" w:rsidRDefault="00730A5A">
      <w:pPr>
        <w:numPr>
          <w:ilvl w:val="0"/>
          <w:numId w:val="2"/>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14:paraId="00000019" w14:textId="77777777" w:rsidR="00A8156B" w:rsidRDefault="00730A5A">
      <w:pPr>
        <w:numPr>
          <w:ilvl w:val="1"/>
          <w:numId w:val="2"/>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The Framework Prices wi</w:t>
      </w:r>
      <w:r>
        <w:rPr>
          <w:rFonts w:ascii="Arial" w:eastAsia="Arial" w:hAnsi="Arial" w:cs="Arial"/>
          <w:color w:val="000000"/>
          <w:sz w:val="24"/>
          <w:szCs w:val="24"/>
        </w:rPr>
        <w:t>ll be fixed for the first 2 years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w:t>
      </w:r>
      <w:r>
        <w:rPr>
          <w:rFonts w:ascii="Arial" w:eastAsia="Arial" w:hAnsi="Arial" w:cs="Arial"/>
          <w:color w:val="000000"/>
          <w:sz w:val="24"/>
          <w:szCs w:val="24"/>
        </w:rPr>
        <w:t>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0000001A" w14:textId="77777777" w:rsidR="00A8156B" w:rsidRDefault="00730A5A">
      <w:pPr>
        <w:numPr>
          <w:ilvl w:val="1"/>
          <w:numId w:val="2"/>
        </w:numPr>
        <w:pBdr>
          <w:top w:val="nil"/>
          <w:left w:val="nil"/>
          <w:bottom w:val="nil"/>
          <w:right w:val="nil"/>
          <w:between w:val="nil"/>
        </w:pBdr>
        <w:tabs>
          <w:tab w:val="left" w:pos="709"/>
        </w:tabs>
        <w:spacing w:before="120" w:after="120" w:line="240" w:lineRule="auto"/>
        <w:ind w:left="1134" w:hanging="504"/>
      </w:pPr>
      <w:bookmarkStart w:id="6" w:name="_tyjcwt" w:colFirst="0" w:colLast="0"/>
      <w:bookmarkEnd w:id="6"/>
      <w:r>
        <w:rPr>
          <w:rFonts w:ascii="Arial" w:eastAsia="Arial" w:hAnsi="Arial" w:cs="Arial"/>
          <w:color w:val="000000"/>
          <w:sz w:val="24"/>
          <w:szCs w:val="24"/>
        </w:rPr>
        <w:t>The Supplier shall give CCS at least three (3) Months' notice in writing prior to a Review Date where it wants to request an increase.  If the Supplier does not give notice in time then it will only be able to request an in</w:t>
      </w:r>
      <w:r>
        <w:rPr>
          <w:rFonts w:ascii="Arial" w:eastAsia="Arial" w:hAnsi="Arial" w:cs="Arial"/>
          <w:color w:val="000000"/>
          <w:sz w:val="24"/>
          <w:szCs w:val="24"/>
        </w:rPr>
        <w:t>crease prior to the next Review Date.</w:t>
      </w:r>
    </w:p>
    <w:p w14:paraId="0000001B" w14:textId="77777777" w:rsidR="00A8156B" w:rsidRDefault="00730A5A">
      <w:pPr>
        <w:numPr>
          <w:ilvl w:val="1"/>
          <w:numId w:val="2"/>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Any notice requesting an increase shall include:</w:t>
      </w:r>
    </w:p>
    <w:p w14:paraId="0000001C" w14:textId="77777777" w:rsidR="00A8156B" w:rsidRDefault="00730A5A">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a list of the Framework Prices to be reviewed;</w:t>
      </w:r>
    </w:p>
    <w:p w14:paraId="0000001D" w14:textId="77777777" w:rsidR="00A8156B" w:rsidRDefault="00730A5A">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for each Framework Price under review, written evidence of the justification for the requested increase including:</w:t>
      </w:r>
    </w:p>
    <w:p w14:paraId="0000001E" w14:textId="77777777" w:rsidR="00A8156B" w:rsidRDefault="00730A5A">
      <w:pPr>
        <w:numPr>
          <w:ilvl w:val="3"/>
          <w:numId w:val="2"/>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sz w:val="24"/>
          <w:szCs w:val="24"/>
        </w:rPr>
      </w:pPr>
      <w:r>
        <w:rPr>
          <w:rFonts w:ascii="Arial" w:eastAsia="Arial" w:hAnsi="Arial" w:cs="Arial"/>
          <w:color w:val="000000"/>
          <w:sz w:val="24"/>
          <w:szCs w:val="24"/>
        </w:rPr>
        <w:t xml:space="preserve">a breakdown of the profit and cost components that comprise the relevant Framework Price; </w:t>
      </w:r>
    </w:p>
    <w:p w14:paraId="0000001F" w14:textId="77777777" w:rsidR="00A8156B" w:rsidRDefault="00730A5A">
      <w:p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the movement in the different identified cost components of the relevant Framework Price;</w:t>
      </w:r>
    </w:p>
    <w:p w14:paraId="00000020" w14:textId="77777777" w:rsidR="00A8156B" w:rsidRDefault="00730A5A">
      <w:pPr>
        <w:numPr>
          <w:ilvl w:val="3"/>
          <w:numId w:val="2"/>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sz w:val="24"/>
          <w:szCs w:val="24"/>
        </w:rPr>
      </w:pPr>
      <w:r>
        <w:rPr>
          <w:rFonts w:ascii="Arial" w:eastAsia="Arial" w:hAnsi="Arial" w:cs="Arial"/>
          <w:color w:val="000000"/>
          <w:sz w:val="24"/>
          <w:szCs w:val="24"/>
        </w:rPr>
        <w:t>reasons for the movement in the different identified cost compon</w:t>
      </w:r>
      <w:r>
        <w:rPr>
          <w:rFonts w:ascii="Arial" w:eastAsia="Arial" w:hAnsi="Arial" w:cs="Arial"/>
          <w:color w:val="000000"/>
          <w:sz w:val="24"/>
          <w:szCs w:val="24"/>
        </w:rPr>
        <w:t>ents of the relevant Framework Price;</w:t>
      </w:r>
    </w:p>
    <w:p w14:paraId="00000021" w14:textId="77777777" w:rsidR="00A8156B" w:rsidRDefault="00730A5A">
      <w:pPr>
        <w:numPr>
          <w:ilvl w:val="3"/>
          <w:numId w:val="2"/>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sz w:val="24"/>
          <w:szCs w:val="24"/>
        </w:rPr>
      </w:pPr>
      <w:r>
        <w:rPr>
          <w:rFonts w:ascii="Arial" w:eastAsia="Arial" w:hAnsi="Arial" w:cs="Arial"/>
          <w:color w:val="000000"/>
          <w:sz w:val="24"/>
          <w:szCs w:val="24"/>
        </w:rPr>
        <w:t>evidence that the Supplier has attempted to mitigate against the increase in the relevant cost components; and</w:t>
      </w:r>
    </w:p>
    <w:p w14:paraId="00000022" w14:textId="77777777" w:rsidR="00A8156B" w:rsidRDefault="00730A5A">
      <w:pPr>
        <w:numPr>
          <w:ilvl w:val="3"/>
          <w:numId w:val="2"/>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sz w:val="24"/>
          <w:szCs w:val="24"/>
        </w:rPr>
      </w:pPr>
      <w:r>
        <w:rPr>
          <w:rFonts w:ascii="Arial" w:eastAsia="Arial" w:hAnsi="Arial" w:cs="Arial"/>
          <w:color w:val="000000"/>
          <w:sz w:val="24"/>
          <w:szCs w:val="24"/>
        </w:rPr>
        <w:lastRenderedPageBreak/>
        <w:t xml:space="preserve">evidence that the Supplier’s profit component of the </w:t>
      </w:r>
      <w:proofErr w:type="gramStart"/>
      <w:r>
        <w:rPr>
          <w:rFonts w:ascii="Arial" w:eastAsia="Arial" w:hAnsi="Arial" w:cs="Arial"/>
          <w:color w:val="000000"/>
          <w:sz w:val="24"/>
          <w:szCs w:val="24"/>
        </w:rPr>
        <w:t>relevant  Framework</w:t>
      </w:r>
      <w:proofErr w:type="gramEnd"/>
      <w:r>
        <w:rPr>
          <w:rFonts w:ascii="Arial" w:eastAsia="Arial" w:hAnsi="Arial" w:cs="Arial"/>
          <w:color w:val="000000"/>
          <w:sz w:val="24"/>
          <w:szCs w:val="24"/>
        </w:rPr>
        <w:t xml:space="preserve"> Price is no greater than that applying to Framework Prices using the same pricing mechanism as at the Contract Commencement Date.</w:t>
      </w:r>
    </w:p>
    <w:p w14:paraId="00000023" w14:textId="77777777" w:rsidR="00A8156B" w:rsidRDefault="00A8156B">
      <w:p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
    <w:p w14:paraId="00000024" w14:textId="77777777" w:rsidR="00A8156B" w:rsidRDefault="00730A5A">
      <w:pPr>
        <w:numPr>
          <w:ilvl w:val="1"/>
          <w:numId w:val="2"/>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CCS shall consider each request for a price increase</w:t>
      </w:r>
      <w:r>
        <w:rPr>
          <w:rFonts w:ascii="Arial" w:eastAsia="Arial" w:hAnsi="Arial" w:cs="Arial"/>
          <w:color w:val="000000"/>
          <w:sz w:val="24"/>
          <w:szCs w:val="24"/>
        </w:rPr>
        <w:t>.  CCS may grant Approval to an increase at its sole discretion.</w:t>
      </w:r>
    </w:p>
    <w:p w14:paraId="00000025" w14:textId="77777777" w:rsidR="00A8156B" w:rsidRDefault="00730A5A">
      <w:pPr>
        <w:numPr>
          <w:ilvl w:val="1"/>
          <w:numId w:val="2"/>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Where CCS approves an increase then it will be implemented from the first (1st) Working Day following the relevant Review Date or such later date as CCS may determine at its sole discretion a</w:t>
      </w:r>
      <w:r>
        <w:rPr>
          <w:rFonts w:ascii="Arial" w:eastAsia="Arial" w:hAnsi="Arial" w:cs="Arial"/>
          <w:color w:val="000000"/>
          <w:sz w:val="24"/>
          <w:szCs w:val="24"/>
        </w:rPr>
        <w:t>nd Annex 1 shall be updated accordingly.</w:t>
      </w:r>
    </w:p>
    <w:p w14:paraId="00000026" w14:textId="77777777" w:rsidR="00A8156B" w:rsidRDefault="00730A5A">
      <w:pPr>
        <w:numPr>
          <w:ilvl w:val="0"/>
          <w:numId w:val="2"/>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14:paraId="00000027" w14:textId="77777777" w:rsidR="00A8156B" w:rsidRDefault="00730A5A">
      <w:pPr>
        <w:numPr>
          <w:ilvl w:val="1"/>
          <w:numId w:val="2"/>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The Framework Prices can also be varied (and Annex 1 will be updated accordingly) due to:</w:t>
      </w:r>
    </w:p>
    <w:p w14:paraId="00000028" w14:textId="77777777" w:rsidR="00A8156B" w:rsidRDefault="00730A5A">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a Specific Change in Law in accordance with Clause 24;</w:t>
      </w:r>
    </w:p>
    <w:p w14:paraId="00000029" w14:textId="77777777" w:rsidR="00A8156B" w:rsidRDefault="00730A5A">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 xml:space="preserve">a review in accordance with insurance requirements in Clause 13; </w:t>
      </w:r>
    </w:p>
    <w:p w14:paraId="0000002A" w14:textId="77777777" w:rsidR="00A8156B" w:rsidRDefault="00730A5A">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a benchmarking review in accordance with Call Off Schedule 16 (Benchmarking)</w:t>
      </w:r>
    </w:p>
    <w:p w14:paraId="0000002B" w14:textId="77777777" w:rsidR="00A8156B" w:rsidRDefault="00730A5A">
      <w:pPr>
        <w:numPr>
          <w:ilvl w:val="2"/>
          <w:numId w:val="2"/>
        </w:numPr>
        <w:pBdr>
          <w:top w:val="nil"/>
          <w:left w:val="nil"/>
          <w:bottom w:val="nil"/>
          <w:right w:val="nil"/>
          <w:between w:val="nil"/>
        </w:pBdr>
        <w:tabs>
          <w:tab w:val="left" w:pos="1985"/>
          <w:tab w:val="left" w:pos="2127"/>
        </w:tabs>
        <w:spacing w:before="120" w:after="120" w:line="240" w:lineRule="auto"/>
        <w:ind w:left="1979" w:hanging="811"/>
        <w:rPr>
          <w:rFonts w:ascii="Arial" w:eastAsia="Arial" w:hAnsi="Arial" w:cs="Arial"/>
        </w:rPr>
      </w:pPr>
      <w:r>
        <w:rPr>
          <w:rFonts w:ascii="Arial" w:eastAsia="Arial" w:hAnsi="Arial" w:cs="Arial"/>
          <w:color w:val="000000"/>
          <w:sz w:val="24"/>
          <w:szCs w:val="24"/>
        </w:rPr>
        <w:t xml:space="preserve">a request from the Supplier, which it can make at any time, to decrease the Framework Prices </w:t>
      </w:r>
    </w:p>
    <w:p w14:paraId="0000002C" w14:textId="77777777" w:rsidR="00A8156B" w:rsidRDefault="00A8156B">
      <w:pPr>
        <w:pBdr>
          <w:top w:val="nil"/>
          <w:left w:val="nil"/>
          <w:bottom w:val="nil"/>
          <w:right w:val="nil"/>
          <w:between w:val="nil"/>
        </w:pBdr>
        <w:tabs>
          <w:tab w:val="left" w:pos="1985"/>
          <w:tab w:val="left" w:pos="2127"/>
        </w:tabs>
        <w:spacing w:before="240" w:after="240" w:line="240" w:lineRule="auto"/>
        <w:ind w:left="270"/>
        <w:jc w:val="both"/>
        <w:rPr>
          <w:rFonts w:ascii="Arial Bold" w:eastAsia="Arial Bold" w:hAnsi="Arial Bold" w:cs="Arial Bold"/>
          <w:b/>
          <w:smallCaps/>
          <w:color w:val="000000"/>
          <w:highlight w:val="yellow"/>
        </w:rPr>
      </w:pPr>
    </w:p>
    <w:p w14:paraId="0000002D" w14:textId="77777777" w:rsidR="00A8156B" w:rsidRDefault="00A8156B">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14:paraId="0000002E" w14:textId="77777777" w:rsidR="00A8156B" w:rsidRDefault="00730A5A">
      <w:pPr>
        <w:rPr>
          <w:rFonts w:ascii="Arial" w:eastAsia="Arial" w:hAnsi="Arial" w:cs="Arial"/>
          <w:b/>
          <w:sz w:val="36"/>
          <w:szCs w:val="36"/>
        </w:rPr>
      </w:pPr>
      <w:bookmarkStart w:id="7" w:name="_3dy6vkm" w:colFirst="0" w:colLast="0"/>
      <w:bookmarkEnd w:id="7"/>
      <w:r>
        <w:br w:type="page"/>
      </w:r>
      <w:r>
        <w:rPr>
          <w:rFonts w:ascii="Arial" w:eastAsia="Arial" w:hAnsi="Arial" w:cs="Arial"/>
          <w:b/>
          <w:sz w:val="36"/>
          <w:szCs w:val="36"/>
        </w:rPr>
        <w:lastRenderedPageBreak/>
        <w:t>Annex 1: Rates and Prices</w:t>
      </w:r>
    </w:p>
    <w:p w14:paraId="0000002F" w14:textId="77777777" w:rsidR="00A8156B" w:rsidRDefault="00730A5A">
      <w:pPr>
        <w:rPr>
          <w:rFonts w:ascii="Arial" w:eastAsia="Arial" w:hAnsi="Arial" w:cs="Arial"/>
          <w:sz w:val="24"/>
          <w:szCs w:val="24"/>
        </w:rPr>
      </w:pPr>
      <w:r>
        <w:rPr>
          <w:rFonts w:ascii="Arial" w:eastAsia="Arial" w:hAnsi="Arial" w:cs="Arial"/>
          <w:sz w:val="24"/>
          <w:szCs w:val="24"/>
          <w:highlight w:val="yellow"/>
        </w:rPr>
        <w:t>[insert Framework Prices]</w:t>
      </w:r>
      <w:r>
        <w:rPr>
          <w:rFonts w:ascii="Arial" w:eastAsia="Arial" w:hAnsi="Arial" w:cs="Arial"/>
          <w:sz w:val="24"/>
          <w:szCs w:val="24"/>
        </w:rPr>
        <w:t xml:space="preserve"> </w:t>
      </w:r>
    </w:p>
    <w:p w14:paraId="00000030" w14:textId="77777777" w:rsidR="00A8156B" w:rsidRDefault="00A8156B">
      <w:pPr>
        <w:rPr>
          <w:rFonts w:ascii="Arial" w:eastAsia="Arial" w:hAnsi="Arial" w:cs="Arial"/>
          <w:sz w:val="24"/>
          <w:szCs w:val="24"/>
        </w:rPr>
      </w:pPr>
    </w:p>
    <w:p w14:paraId="00000031" w14:textId="77777777" w:rsidR="00A8156B" w:rsidRDefault="00730A5A">
      <w:pPr>
        <w:rPr>
          <w:rFonts w:ascii="Arial" w:eastAsia="Arial" w:hAnsi="Arial" w:cs="Arial"/>
          <w:b/>
          <w:sz w:val="24"/>
          <w:szCs w:val="24"/>
        </w:rPr>
      </w:pPr>
      <w:bookmarkStart w:id="8" w:name="_1t3h5sf" w:colFirst="0" w:colLast="0"/>
      <w:bookmarkEnd w:id="8"/>
      <w:r>
        <w:t xml:space="preserve">     </w:t>
      </w:r>
    </w:p>
    <w:sectPr w:rsidR="00A8156B">
      <w:headerReference w:type="default" r:id="rId7"/>
      <w:footerReference w:type="default" r:id="rId8"/>
      <w:headerReference w:type="first" r:id="rId9"/>
      <w:footerReference w:type="first" r:id="rId10"/>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FC212" w14:textId="77777777" w:rsidR="00730A5A" w:rsidRDefault="00730A5A">
      <w:pPr>
        <w:spacing w:after="0" w:line="240" w:lineRule="auto"/>
      </w:pPr>
      <w:r>
        <w:separator/>
      </w:r>
    </w:p>
  </w:endnote>
  <w:endnote w:type="continuationSeparator" w:id="0">
    <w:p w14:paraId="4BC7E2FA" w14:textId="77777777" w:rsidR="00730A5A" w:rsidRDefault="00730A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auto"/>
    <w:pitch w:val="default"/>
  </w:font>
  <w:font w:name="Arial Bold">
    <w:panose1 w:val="020B07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9" w14:textId="77777777" w:rsidR="00A8156B" w:rsidRDefault="00730A5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RM6098</w:t>
    </w:r>
    <w:r>
      <w:rPr>
        <w:rFonts w:ascii="Arial" w:eastAsia="Arial" w:hAnsi="Arial" w:cs="Arial"/>
        <w:sz w:val="20"/>
        <w:szCs w:val="20"/>
      </w:rPr>
      <w:tab/>
      <w:t xml:space="preserve">                                           </w:t>
    </w:r>
  </w:p>
  <w:p w14:paraId="0000003A" w14:textId="0A33F1D4" w:rsidR="00A8156B" w:rsidRDefault="00730A5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v2.0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7448A8">
      <w:rPr>
        <w:rFonts w:ascii="Arial" w:eastAsia="Arial" w:hAnsi="Arial" w:cs="Arial"/>
        <w:color w:val="000000"/>
        <w:sz w:val="20"/>
        <w:szCs w:val="20"/>
      </w:rPr>
      <w:fldChar w:fldCharType="separate"/>
    </w:r>
    <w:r w:rsidR="007448A8">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3B" w14:textId="77777777" w:rsidR="00A8156B" w:rsidRDefault="00730A5A">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6" w14:textId="77777777" w:rsidR="00A8156B" w:rsidRDefault="00730A5A">
    <w:pPr>
      <w:tabs>
        <w:tab w:val="center" w:pos="4513"/>
        <w:tab w:val="right" w:pos="9026"/>
      </w:tabs>
      <w:spacing w:after="0"/>
    </w:pPr>
    <w:r>
      <w:t>Framework Ref: RM</w:t>
    </w:r>
    <w:r>
      <w:tab/>
      <w:t xml:space="preserve">                                           </w:t>
    </w:r>
  </w:p>
  <w:p w14:paraId="00000037" w14:textId="77777777" w:rsidR="00A8156B" w:rsidRDefault="00730A5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38" w14:textId="77777777" w:rsidR="00A8156B" w:rsidRDefault="00730A5A">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D2C8D" w14:textId="77777777" w:rsidR="00730A5A" w:rsidRDefault="00730A5A">
      <w:pPr>
        <w:spacing w:after="0" w:line="240" w:lineRule="auto"/>
      </w:pPr>
      <w:r>
        <w:separator/>
      </w:r>
    </w:p>
  </w:footnote>
  <w:footnote w:type="continuationSeparator" w:id="0">
    <w:p w14:paraId="6E21E4FA" w14:textId="77777777" w:rsidR="00730A5A" w:rsidRDefault="00730A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4" w14:textId="77777777" w:rsidR="00A8156B" w:rsidRDefault="00730A5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sz w:val="20"/>
        <w:szCs w:val="20"/>
      </w:rPr>
      <w:t xml:space="preserve">RM6098 </w:t>
    </w:r>
    <w:r>
      <w:rPr>
        <w:rFonts w:ascii="Arial" w:eastAsia="Arial" w:hAnsi="Arial" w:cs="Arial"/>
        <w:b/>
        <w:color w:val="000000"/>
        <w:sz w:val="20"/>
        <w:szCs w:val="20"/>
      </w:rPr>
      <w:t>Framework Schedule 3 (Framework Prices)</w:t>
    </w:r>
  </w:p>
  <w:p w14:paraId="00000035" w14:textId="77777777" w:rsidR="00A8156B" w:rsidRDefault="00730A5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2" w14:textId="77777777" w:rsidR="00A8156B" w:rsidRDefault="00730A5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33" w14:textId="77777777" w:rsidR="00A8156B" w:rsidRDefault="00730A5A">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F52C25"/>
    <w:multiLevelType w:val="multilevel"/>
    <w:tmpl w:val="9CF03A34"/>
    <w:lvl w:ilvl="0">
      <w:start w:val="1"/>
      <w:numFmt w:val="decimal"/>
      <w:lvlText w:val="%1."/>
      <w:lvlJc w:val="left"/>
      <w:pPr>
        <w:ind w:left="360"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9B438F8"/>
    <w:multiLevelType w:val="multilevel"/>
    <w:tmpl w:val="87E0239A"/>
    <w:lvl w:ilvl="0">
      <w:start w:val="1"/>
      <w:numFmt w:val="decimal"/>
      <w:lvlText w:val="%1."/>
      <w:lvlJc w:val="left"/>
      <w:pPr>
        <w:ind w:left="360" w:hanging="360"/>
      </w:pPr>
      <w:rPr>
        <w:smallCaps w:val="0"/>
        <w:strike w:val="0"/>
        <w:color w:val="000000"/>
        <w:u w:val="none"/>
        <w:vertAlign w:val="baseline"/>
      </w:rPr>
    </w:lvl>
    <w:lvl w:ilvl="1">
      <w:start w:val="1"/>
      <w:numFmt w:val="lowerRoman"/>
      <w:lvlText w:val="%2."/>
      <w:lvlJc w:val="right"/>
      <w:pPr>
        <w:ind w:left="644" w:hanging="358"/>
      </w:pPr>
      <w:rPr>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56B"/>
    <w:rsid w:val="00730A5A"/>
    <w:rsid w:val="007448A8"/>
    <w:rsid w:val="00A815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4FBFF3-7C5F-46E0-8429-93ED4119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782</Words>
  <Characters>4460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Morris</dc:creator>
  <cp:lastModifiedBy>Sarah Morris</cp:lastModifiedBy>
  <cp:revision>2</cp:revision>
  <dcterms:created xsi:type="dcterms:W3CDTF">2023-03-20T11:38:00Z</dcterms:created>
  <dcterms:modified xsi:type="dcterms:W3CDTF">2023-03-20T11:38:00Z</dcterms:modified>
</cp:coreProperties>
</file>